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72076" w14:textId="2F0F3D89" w:rsidR="00646E0B" w:rsidRDefault="00646E0B" w:rsidP="00646E0B">
      <w:pPr>
        <w:jc w:val="center"/>
        <w:rPr>
          <w:rFonts w:ascii="Arial" w:hAnsi="Arial" w:cs="Arial"/>
          <w:sz w:val="52"/>
          <w:szCs w:val="52"/>
        </w:rPr>
      </w:pPr>
      <w:r>
        <w:rPr>
          <w:rFonts w:ascii="Arial" w:hAnsi="Arial" w:cs="Arial"/>
          <w:noProof/>
          <w:sz w:val="52"/>
          <w:szCs w:val="52"/>
          <w:lang w:eastAsia="en-ZA"/>
        </w:rPr>
        <w:drawing>
          <wp:inline distT="0" distB="0" distL="0" distR="0" wp14:anchorId="0DDA1EE0" wp14:editId="166E764A">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14:paraId="76B87267" w14:textId="484CBCD9" w:rsidR="00646E0B" w:rsidRDefault="00646E0B" w:rsidP="00646E0B">
      <w:pPr>
        <w:rPr>
          <w:rFonts w:ascii="Arial" w:hAnsi="Arial" w:cs="Arial"/>
          <w:sz w:val="52"/>
          <w:szCs w:val="52"/>
        </w:rPr>
      </w:pPr>
    </w:p>
    <w:p w14:paraId="42F5B6F6" w14:textId="2578E3D5" w:rsidR="007D7AE7" w:rsidRDefault="00646E0B" w:rsidP="00646E0B">
      <w:pPr>
        <w:jc w:val="center"/>
        <w:rPr>
          <w:rFonts w:ascii="Arial" w:hAnsi="Arial" w:cs="Arial"/>
          <w:b/>
          <w:sz w:val="52"/>
          <w:szCs w:val="52"/>
        </w:rPr>
      </w:pPr>
      <w:r>
        <w:rPr>
          <w:rFonts w:ascii="Arial" w:hAnsi="Arial" w:cs="Arial"/>
          <w:b/>
          <w:sz w:val="52"/>
          <w:szCs w:val="52"/>
        </w:rPr>
        <w:t>CENTRAL KAROO DISTRICT MUNICIPALITY</w:t>
      </w:r>
    </w:p>
    <w:p w14:paraId="29C91EC6" w14:textId="23AE54D8" w:rsidR="00646E0B" w:rsidRDefault="00646E0B" w:rsidP="00646E0B">
      <w:pPr>
        <w:jc w:val="center"/>
        <w:rPr>
          <w:rFonts w:ascii="Arial" w:hAnsi="Arial" w:cs="Arial"/>
          <w:b/>
          <w:sz w:val="52"/>
          <w:szCs w:val="52"/>
        </w:rPr>
      </w:pPr>
    </w:p>
    <w:p w14:paraId="71F99DCF" w14:textId="10280903" w:rsidR="00646E0B" w:rsidRDefault="00646E0B" w:rsidP="00646E0B">
      <w:pPr>
        <w:jc w:val="center"/>
        <w:rPr>
          <w:rFonts w:ascii="Arial" w:hAnsi="Arial" w:cs="Arial"/>
          <w:b/>
          <w:sz w:val="52"/>
          <w:szCs w:val="52"/>
        </w:rPr>
      </w:pPr>
    </w:p>
    <w:p w14:paraId="6AEE6079" w14:textId="55F7FE7D" w:rsidR="00646E0B" w:rsidRDefault="00646E0B" w:rsidP="00646E0B">
      <w:pPr>
        <w:jc w:val="center"/>
        <w:rPr>
          <w:rFonts w:ascii="Arial" w:hAnsi="Arial" w:cs="Arial"/>
          <w:b/>
          <w:sz w:val="52"/>
          <w:szCs w:val="52"/>
        </w:rPr>
      </w:pPr>
    </w:p>
    <w:p w14:paraId="5AFAE1E4" w14:textId="77777777" w:rsidR="00646E0B" w:rsidRDefault="00646E0B" w:rsidP="00646E0B">
      <w:pPr>
        <w:jc w:val="center"/>
        <w:rPr>
          <w:rFonts w:ascii="Arial" w:hAnsi="Arial" w:cs="Arial"/>
          <w:b/>
          <w:sz w:val="52"/>
          <w:szCs w:val="52"/>
        </w:rPr>
      </w:pPr>
      <w:r>
        <w:rPr>
          <w:rFonts w:ascii="Arial" w:hAnsi="Arial" w:cs="Arial"/>
          <w:b/>
          <w:sz w:val="52"/>
          <w:szCs w:val="52"/>
        </w:rPr>
        <w:t>FUNDING AND RESERVES</w:t>
      </w:r>
    </w:p>
    <w:p w14:paraId="25EAD70E" w14:textId="65B8C15E" w:rsidR="00646E0B" w:rsidRDefault="00646E0B" w:rsidP="00646E0B">
      <w:pPr>
        <w:jc w:val="center"/>
        <w:rPr>
          <w:rFonts w:ascii="Arial" w:hAnsi="Arial" w:cs="Arial"/>
          <w:b/>
          <w:sz w:val="52"/>
          <w:szCs w:val="52"/>
        </w:rPr>
      </w:pPr>
      <w:r>
        <w:rPr>
          <w:rFonts w:ascii="Arial" w:hAnsi="Arial" w:cs="Arial"/>
          <w:b/>
          <w:sz w:val="52"/>
          <w:szCs w:val="52"/>
        </w:rPr>
        <w:t xml:space="preserve"> POLICY</w:t>
      </w:r>
    </w:p>
    <w:p w14:paraId="7BDF0F4F" w14:textId="375B3393" w:rsidR="00646E0B" w:rsidRDefault="00646E0B" w:rsidP="00646E0B">
      <w:pPr>
        <w:jc w:val="center"/>
        <w:rPr>
          <w:rFonts w:ascii="Arial" w:hAnsi="Arial" w:cs="Arial"/>
          <w:b/>
          <w:sz w:val="52"/>
          <w:szCs w:val="52"/>
        </w:rPr>
      </w:pPr>
    </w:p>
    <w:p w14:paraId="40D65B34" w14:textId="7A75BAB2" w:rsidR="00646E0B" w:rsidRDefault="00646E0B" w:rsidP="00646E0B">
      <w:pPr>
        <w:jc w:val="center"/>
        <w:rPr>
          <w:rFonts w:ascii="Arial" w:hAnsi="Arial" w:cs="Arial"/>
          <w:b/>
          <w:sz w:val="52"/>
          <w:szCs w:val="52"/>
        </w:rPr>
      </w:pPr>
    </w:p>
    <w:p w14:paraId="11883295" w14:textId="3109319B" w:rsidR="00646E0B" w:rsidRDefault="00646E0B" w:rsidP="00646E0B">
      <w:pPr>
        <w:jc w:val="center"/>
        <w:rPr>
          <w:rFonts w:ascii="Arial" w:hAnsi="Arial" w:cs="Arial"/>
          <w:b/>
          <w:sz w:val="52"/>
          <w:szCs w:val="52"/>
        </w:rPr>
      </w:pPr>
    </w:p>
    <w:p w14:paraId="48C0D8FB" w14:textId="2950EE93" w:rsidR="00646E0B" w:rsidRDefault="00646E0B" w:rsidP="00646E0B">
      <w:pPr>
        <w:jc w:val="center"/>
        <w:rPr>
          <w:rFonts w:ascii="Arial" w:hAnsi="Arial" w:cs="Arial"/>
          <w:b/>
          <w:sz w:val="52"/>
          <w:szCs w:val="52"/>
        </w:rPr>
      </w:pPr>
    </w:p>
    <w:p w14:paraId="7C1876D3" w14:textId="77777777" w:rsidR="006E712A" w:rsidRPr="006E712A" w:rsidRDefault="006E712A" w:rsidP="006E712A">
      <w:pPr>
        <w:jc w:val="both"/>
        <w:rPr>
          <w:rFonts w:ascii="Arial" w:hAnsi="Arial" w:cs="Arial"/>
          <w:b/>
          <w:sz w:val="24"/>
          <w:szCs w:val="24"/>
        </w:rPr>
      </w:pPr>
      <w:r w:rsidRPr="006E712A">
        <w:rPr>
          <w:rFonts w:ascii="Arial" w:hAnsi="Arial" w:cs="Arial"/>
          <w:b/>
          <w:sz w:val="24"/>
          <w:szCs w:val="24"/>
        </w:rPr>
        <w:t>2020/2021</w:t>
      </w:r>
    </w:p>
    <w:p w14:paraId="5276F169" w14:textId="77AD58D2" w:rsidR="00972C29" w:rsidRDefault="00972C29" w:rsidP="00646E0B">
      <w:pPr>
        <w:jc w:val="both"/>
        <w:rPr>
          <w:rFonts w:ascii="Arial" w:hAnsi="Arial" w:cs="Arial"/>
          <w:b/>
          <w:sz w:val="24"/>
          <w:szCs w:val="24"/>
        </w:rPr>
      </w:pPr>
      <w:bookmarkStart w:id="0" w:name="_GoBack"/>
      <w:bookmarkEnd w:id="0"/>
    </w:p>
    <w:p w14:paraId="51C134AE" w14:textId="5F876194" w:rsidR="00646E0B" w:rsidRDefault="00646E0B" w:rsidP="00646E0B">
      <w:pPr>
        <w:jc w:val="both"/>
        <w:rPr>
          <w:rFonts w:ascii="Arial" w:hAnsi="Arial" w:cs="Arial"/>
        </w:rPr>
      </w:pPr>
    </w:p>
    <w:tbl>
      <w:tblPr>
        <w:tblStyle w:val="TableGrid"/>
        <w:tblW w:w="0" w:type="auto"/>
        <w:tblLook w:val="04A0" w:firstRow="1" w:lastRow="0" w:firstColumn="1" w:lastColumn="0" w:noHBand="0" w:noVBand="1"/>
      </w:tblPr>
      <w:tblGrid>
        <w:gridCol w:w="1129"/>
        <w:gridCol w:w="5954"/>
        <w:gridCol w:w="1933"/>
      </w:tblGrid>
      <w:tr w:rsidR="00646E0B" w14:paraId="10C566F1" w14:textId="77777777" w:rsidTr="00646E0B">
        <w:tc>
          <w:tcPr>
            <w:tcW w:w="9016" w:type="dxa"/>
            <w:gridSpan w:val="3"/>
            <w:tcBorders>
              <w:top w:val="nil"/>
              <w:left w:val="nil"/>
              <w:bottom w:val="nil"/>
              <w:right w:val="nil"/>
            </w:tcBorders>
          </w:tcPr>
          <w:p w14:paraId="194F42E1" w14:textId="5DB1C556" w:rsidR="00646E0B" w:rsidRPr="00646E0B" w:rsidRDefault="00646E0B" w:rsidP="00646E0B">
            <w:pPr>
              <w:spacing w:line="360" w:lineRule="auto"/>
              <w:jc w:val="center"/>
              <w:rPr>
                <w:rFonts w:ascii="Arial" w:hAnsi="Arial" w:cs="Arial"/>
                <w:b/>
                <w:u w:val="single"/>
              </w:rPr>
            </w:pPr>
            <w:r>
              <w:rPr>
                <w:rFonts w:ascii="Arial" w:hAnsi="Arial" w:cs="Arial"/>
                <w:b/>
                <w:u w:val="single"/>
              </w:rPr>
              <w:lastRenderedPageBreak/>
              <w:t>TABLE OF CONTENT</w:t>
            </w:r>
          </w:p>
        </w:tc>
      </w:tr>
      <w:tr w:rsidR="00646E0B" w14:paraId="400878B9" w14:textId="77777777" w:rsidTr="00646E0B">
        <w:tc>
          <w:tcPr>
            <w:tcW w:w="1129" w:type="dxa"/>
            <w:tcBorders>
              <w:top w:val="nil"/>
              <w:left w:val="nil"/>
              <w:bottom w:val="nil"/>
              <w:right w:val="nil"/>
            </w:tcBorders>
          </w:tcPr>
          <w:p w14:paraId="000ADDAF" w14:textId="77777777" w:rsidR="00646E0B" w:rsidRDefault="00646E0B" w:rsidP="00646E0B">
            <w:pPr>
              <w:spacing w:line="360" w:lineRule="auto"/>
              <w:jc w:val="both"/>
              <w:rPr>
                <w:rFonts w:ascii="Arial" w:hAnsi="Arial" w:cs="Arial"/>
              </w:rPr>
            </w:pPr>
          </w:p>
        </w:tc>
        <w:tc>
          <w:tcPr>
            <w:tcW w:w="5954" w:type="dxa"/>
            <w:tcBorders>
              <w:top w:val="nil"/>
              <w:left w:val="nil"/>
              <w:bottom w:val="nil"/>
              <w:right w:val="nil"/>
            </w:tcBorders>
          </w:tcPr>
          <w:p w14:paraId="3BE7238B" w14:textId="77777777" w:rsidR="00646E0B" w:rsidRDefault="00646E0B" w:rsidP="00646E0B">
            <w:pPr>
              <w:spacing w:line="360" w:lineRule="auto"/>
              <w:jc w:val="both"/>
              <w:rPr>
                <w:rFonts w:ascii="Arial" w:hAnsi="Arial" w:cs="Arial"/>
              </w:rPr>
            </w:pPr>
          </w:p>
        </w:tc>
        <w:tc>
          <w:tcPr>
            <w:tcW w:w="1933" w:type="dxa"/>
            <w:tcBorders>
              <w:top w:val="nil"/>
              <w:left w:val="nil"/>
              <w:bottom w:val="nil"/>
              <w:right w:val="nil"/>
            </w:tcBorders>
          </w:tcPr>
          <w:p w14:paraId="2D4B6257" w14:textId="77777777" w:rsidR="00646E0B" w:rsidRDefault="00646E0B" w:rsidP="00646E0B">
            <w:pPr>
              <w:spacing w:line="360" w:lineRule="auto"/>
              <w:jc w:val="both"/>
              <w:rPr>
                <w:rFonts w:ascii="Arial" w:hAnsi="Arial" w:cs="Arial"/>
              </w:rPr>
            </w:pPr>
          </w:p>
        </w:tc>
      </w:tr>
      <w:tr w:rsidR="00335912" w14:paraId="1F3C631C" w14:textId="77777777" w:rsidTr="00646E0B">
        <w:tc>
          <w:tcPr>
            <w:tcW w:w="1129" w:type="dxa"/>
            <w:tcBorders>
              <w:top w:val="nil"/>
              <w:left w:val="nil"/>
              <w:bottom w:val="nil"/>
              <w:right w:val="nil"/>
            </w:tcBorders>
          </w:tcPr>
          <w:p w14:paraId="57406CDE" w14:textId="77777777" w:rsidR="00335912" w:rsidRDefault="00335912" w:rsidP="00646E0B">
            <w:pPr>
              <w:spacing w:line="360" w:lineRule="auto"/>
              <w:jc w:val="both"/>
              <w:rPr>
                <w:rFonts w:ascii="Arial" w:hAnsi="Arial" w:cs="Arial"/>
              </w:rPr>
            </w:pPr>
          </w:p>
        </w:tc>
        <w:tc>
          <w:tcPr>
            <w:tcW w:w="5954" w:type="dxa"/>
            <w:tcBorders>
              <w:top w:val="nil"/>
              <w:left w:val="nil"/>
              <w:bottom w:val="nil"/>
              <w:right w:val="nil"/>
            </w:tcBorders>
          </w:tcPr>
          <w:p w14:paraId="5D9D710A" w14:textId="77777777" w:rsidR="00335912" w:rsidRDefault="00335912" w:rsidP="00646E0B">
            <w:pPr>
              <w:spacing w:line="360" w:lineRule="auto"/>
              <w:jc w:val="both"/>
              <w:rPr>
                <w:rFonts w:ascii="Arial" w:hAnsi="Arial" w:cs="Arial"/>
              </w:rPr>
            </w:pPr>
          </w:p>
        </w:tc>
        <w:tc>
          <w:tcPr>
            <w:tcW w:w="1933" w:type="dxa"/>
            <w:tcBorders>
              <w:top w:val="nil"/>
              <w:left w:val="nil"/>
              <w:bottom w:val="nil"/>
              <w:right w:val="nil"/>
            </w:tcBorders>
          </w:tcPr>
          <w:p w14:paraId="7C067827" w14:textId="77777777" w:rsidR="00335912" w:rsidRDefault="00335912" w:rsidP="00646E0B">
            <w:pPr>
              <w:spacing w:line="360" w:lineRule="auto"/>
              <w:jc w:val="both"/>
              <w:rPr>
                <w:rFonts w:ascii="Arial" w:hAnsi="Arial" w:cs="Arial"/>
              </w:rPr>
            </w:pPr>
          </w:p>
        </w:tc>
      </w:tr>
      <w:tr w:rsidR="00646E0B" w14:paraId="47669685" w14:textId="77777777" w:rsidTr="00646E0B">
        <w:tc>
          <w:tcPr>
            <w:tcW w:w="1129" w:type="dxa"/>
            <w:tcBorders>
              <w:top w:val="nil"/>
              <w:left w:val="nil"/>
              <w:bottom w:val="nil"/>
              <w:right w:val="nil"/>
            </w:tcBorders>
          </w:tcPr>
          <w:p w14:paraId="200C383C" w14:textId="105F6316" w:rsidR="00646E0B" w:rsidRDefault="00646E0B" w:rsidP="00646E0B">
            <w:pPr>
              <w:spacing w:line="360" w:lineRule="auto"/>
              <w:jc w:val="both"/>
              <w:rPr>
                <w:rFonts w:ascii="Arial" w:hAnsi="Arial" w:cs="Arial"/>
              </w:rPr>
            </w:pPr>
            <w:r>
              <w:rPr>
                <w:rFonts w:ascii="Arial" w:hAnsi="Arial" w:cs="Arial"/>
              </w:rPr>
              <w:t>1.</w:t>
            </w:r>
          </w:p>
        </w:tc>
        <w:tc>
          <w:tcPr>
            <w:tcW w:w="5954" w:type="dxa"/>
            <w:tcBorders>
              <w:top w:val="nil"/>
              <w:left w:val="nil"/>
              <w:bottom w:val="nil"/>
              <w:right w:val="nil"/>
            </w:tcBorders>
          </w:tcPr>
          <w:p w14:paraId="0FD62646" w14:textId="0C947AEE" w:rsidR="00646E0B" w:rsidRDefault="00646E0B" w:rsidP="00646E0B">
            <w:pPr>
              <w:spacing w:line="360" w:lineRule="auto"/>
              <w:jc w:val="both"/>
              <w:rPr>
                <w:rFonts w:ascii="Arial" w:hAnsi="Arial" w:cs="Arial"/>
              </w:rPr>
            </w:pPr>
            <w:r>
              <w:rPr>
                <w:rFonts w:ascii="Arial" w:hAnsi="Arial" w:cs="Arial"/>
              </w:rPr>
              <w:t>Purpose</w:t>
            </w:r>
          </w:p>
        </w:tc>
        <w:tc>
          <w:tcPr>
            <w:tcW w:w="1933" w:type="dxa"/>
            <w:tcBorders>
              <w:top w:val="nil"/>
              <w:left w:val="nil"/>
              <w:bottom w:val="nil"/>
              <w:right w:val="nil"/>
            </w:tcBorders>
          </w:tcPr>
          <w:p w14:paraId="2587020E" w14:textId="507FBB12" w:rsidR="00646E0B" w:rsidRDefault="00646E0B" w:rsidP="00646E0B">
            <w:pPr>
              <w:spacing w:line="360" w:lineRule="auto"/>
              <w:jc w:val="center"/>
              <w:rPr>
                <w:rFonts w:ascii="Arial" w:hAnsi="Arial" w:cs="Arial"/>
              </w:rPr>
            </w:pPr>
            <w:r>
              <w:rPr>
                <w:rFonts w:ascii="Arial" w:hAnsi="Arial" w:cs="Arial"/>
              </w:rPr>
              <w:t>3</w:t>
            </w:r>
          </w:p>
        </w:tc>
      </w:tr>
      <w:tr w:rsidR="00646E0B" w14:paraId="48FF4BDB" w14:textId="77777777" w:rsidTr="00646E0B">
        <w:tc>
          <w:tcPr>
            <w:tcW w:w="1129" w:type="dxa"/>
            <w:tcBorders>
              <w:top w:val="nil"/>
              <w:left w:val="nil"/>
              <w:bottom w:val="nil"/>
              <w:right w:val="nil"/>
            </w:tcBorders>
          </w:tcPr>
          <w:p w14:paraId="45A95870" w14:textId="77777777" w:rsidR="00646E0B" w:rsidRDefault="00646E0B" w:rsidP="00646E0B">
            <w:pPr>
              <w:spacing w:line="360" w:lineRule="auto"/>
              <w:jc w:val="both"/>
              <w:rPr>
                <w:rFonts w:ascii="Arial" w:hAnsi="Arial" w:cs="Arial"/>
              </w:rPr>
            </w:pPr>
          </w:p>
        </w:tc>
        <w:tc>
          <w:tcPr>
            <w:tcW w:w="5954" w:type="dxa"/>
            <w:tcBorders>
              <w:top w:val="nil"/>
              <w:left w:val="nil"/>
              <w:bottom w:val="nil"/>
              <w:right w:val="nil"/>
            </w:tcBorders>
          </w:tcPr>
          <w:p w14:paraId="0CB29EA7" w14:textId="77777777" w:rsidR="00646E0B" w:rsidRDefault="00646E0B" w:rsidP="00646E0B">
            <w:pPr>
              <w:spacing w:line="360" w:lineRule="auto"/>
              <w:jc w:val="both"/>
              <w:rPr>
                <w:rFonts w:ascii="Arial" w:hAnsi="Arial" w:cs="Arial"/>
              </w:rPr>
            </w:pPr>
          </w:p>
        </w:tc>
        <w:tc>
          <w:tcPr>
            <w:tcW w:w="1933" w:type="dxa"/>
            <w:tcBorders>
              <w:top w:val="nil"/>
              <w:left w:val="nil"/>
              <w:bottom w:val="nil"/>
              <w:right w:val="nil"/>
            </w:tcBorders>
          </w:tcPr>
          <w:p w14:paraId="3B7D179A" w14:textId="77777777" w:rsidR="00646E0B" w:rsidRDefault="00646E0B" w:rsidP="00646E0B">
            <w:pPr>
              <w:spacing w:line="360" w:lineRule="auto"/>
              <w:jc w:val="center"/>
              <w:rPr>
                <w:rFonts w:ascii="Arial" w:hAnsi="Arial" w:cs="Arial"/>
              </w:rPr>
            </w:pPr>
          </w:p>
        </w:tc>
      </w:tr>
      <w:tr w:rsidR="00646E0B" w14:paraId="546A17ED" w14:textId="77777777" w:rsidTr="00646E0B">
        <w:tc>
          <w:tcPr>
            <w:tcW w:w="1129" w:type="dxa"/>
            <w:tcBorders>
              <w:top w:val="nil"/>
              <w:left w:val="nil"/>
              <w:bottom w:val="nil"/>
              <w:right w:val="nil"/>
            </w:tcBorders>
          </w:tcPr>
          <w:p w14:paraId="050DF365" w14:textId="76A6EA07" w:rsidR="00646E0B" w:rsidRDefault="00646E0B" w:rsidP="00646E0B">
            <w:pPr>
              <w:spacing w:line="360" w:lineRule="auto"/>
              <w:jc w:val="both"/>
              <w:rPr>
                <w:rFonts w:ascii="Arial" w:hAnsi="Arial" w:cs="Arial"/>
              </w:rPr>
            </w:pPr>
            <w:r>
              <w:rPr>
                <w:rFonts w:ascii="Arial" w:hAnsi="Arial" w:cs="Arial"/>
              </w:rPr>
              <w:t>2.</w:t>
            </w:r>
          </w:p>
        </w:tc>
        <w:tc>
          <w:tcPr>
            <w:tcW w:w="5954" w:type="dxa"/>
            <w:tcBorders>
              <w:top w:val="nil"/>
              <w:left w:val="nil"/>
              <w:bottom w:val="nil"/>
              <w:right w:val="nil"/>
            </w:tcBorders>
          </w:tcPr>
          <w:p w14:paraId="033F0D36" w14:textId="7DE7A624" w:rsidR="00646E0B" w:rsidRDefault="00646E0B" w:rsidP="00646E0B">
            <w:pPr>
              <w:spacing w:line="360" w:lineRule="auto"/>
              <w:jc w:val="both"/>
              <w:rPr>
                <w:rFonts w:ascii="Arial" w:hAnsi="Arial" w:cs="Arial"/>
              </w:rPr>
            </w:pPr>
            <w:r>
              <w:rPr>
                <w:rFonts w:ascii="Arial" w:hAnsi="Arial" w:cs="Arial"/>
              </w:rPr>
              <w:t>Contributions</w:t>
            </w:r>
          </w:p>
        </w:tc>
        <w:tc>
          <w:tcPr>
            <w:tcW w:w="1933" w:type="dxa"/>
            <w:tcBorders>
              <w:top w:val="nil"/>
              <w:left w:val="nil"/>
              <w:bottom w:val="nil"/>
              <w:right w:val="nil"/>
            </w:tcBorders>
          </w:tcPr>
          <w:p w14:paraId="24EA87D7" w14:textId="4F387A7A" w:rsidR="00646E0B" w:rsidRDefault="00646E0B" w:rsidP="00646E0B">
            <w:pPr>
              <w:spacing w:line="360" w:lineRule="auto"/>
              <w:jc w:val="center"/>
              <w:rPr>
                <w:rFonts w:ascii="Arial" w:hAnsi="Arial" w:cs="Arial"/>
              </w:rPr>
            </w:pPr>
            <w:r>
              <w:rPr>
                <w:rFonts w:ascii="Arial" w:hAnsi="Arial" w:cs="Arial"/>
              </w:rPr>
              <w:t>3</w:t>
            </w:r>
          </w:p>
        </w:tc>
      </w:tr>
      <w:tr w:rsidR="00646E0B" w14:paraId="3C471ECC" w14:textId="77777777" w:rsidTr="00646E0B">
        <w:tc>
          <w:tcPr>
            <w:tcW w:w="1129" w:type="dxa"/>
            <w:tcBorders>
              <w:top w:val="nil"/>
              <w:left w:val="nil"/>
              <w:bottom w:val="nil"/>
              <w:right w:val="nil"/>
            </w:tcBorders>
          </w:tcPr>
          <w:p w14:paraId="0524C142" w14:textId="77777777" w:rsidR="00646E0B" w:rsidRDefault="00646E0B" w:rsidP="00646E0B">
            <w:pPr>
              <w:spacing w:line="360" w:lineRule="auto"/>
              <w:jc w:val="both"/>
              <w:rPr>
                <w:rFonts w:ascii="Arial" w:hAnsi="Arial" w:cs="Arial"/>
              </w:rPr>
            </w:pPr>
          </w:p>
        </w:tc>
        <w:tc>
          <w:tcPr>
            <w:tcW w:w="5954" w:type="dxa"/>
            <w:tcBorders>
              <w:top w:val="nil"/>
              <w:left w:val="nil"/>
              <w:bottom w:val="nil"/>
              <w:right w:val="nil"/>
            </w:tcBorders>
          </w:tcPr>
          <w:p w14:paraId="6E16B280" w14:textId="77777777" w:rsidR="00646E0B" w:rsidRDefault="00646E0B" w:rsidP="00646E0B">
            <w:pPr>
              <w:spacing w:line="360" w:lineRule="auto"/>
              <w:jc w:val="both"/>
              <w:rPr>
                <w:rFonts w:ascii="Arial" w:hAnsi="Arial" w:cs="Arial"/>
              </w:rPr>
            </w:pPr>
          </w:p>
        </w:tc>
        <w:tc>
          <w:tcPr>
            <w:tcW w:w="1933" w:type="dxa"/>
            <w:tcBorders>
              <w:top w:val="nil"/>
              <w:left w:val="nil"/>
              <w:bottom w:val="nil"/>
              <w:right w:val="nil"/>
            </w:tcBorders>
          </w:tcPr>
          <w:p w14:paraId="77CADB2C" w14:textId="77777777" w:rsidR="00646E0B" w:rsidRDefault="00646E0B" w:rsidP="00646E0B">
            <w:pPr>
              <w:spacing w:line="360" w:lineRule="auto"/>
              <w:jc w:val="center"/>
              <w:rPr>
                <w:rFonts w:ascii="Arial" w:hAnsi="Arial" w:cs="Arial"/>
              </w:rPr>
            </w:pPr>
          </w:p>
        </w:tc>
      </w:tr>
      <w:tr w:rsidR="00646E0B" w14:paraId="121DB3C4" w14:textId="77777777" w:rsidTr="00646E0B">
        <w:tc>
          <w:tcPr>
            <w:tcW w:w="1129" w:type="dxa"/>
            <w:tcBorders>
              <w:top w:val="nil"/>
              <w:left w:val="nil"/>
              <w:bottom w:val="nil"/>
              <w:right w:val="nil"/>
            </w:tcBorders>
          </w:tcPr>
          <w:p w14:paraId="0F753CAC" w14:textId="7B4C5034" w:rsidR="00646E0B" w:rsidRDefault="00646E0B" w:rsidP="00646E0B">
            <w:pPr>
              <w:spacing w:line="360" w:lineRule="auto"/>
              <w:jc w:val="both"/>
              <w:rPr>
                <w:rFonts w:ascii="Arial" w:hAnsi="Arial" w:cs="Arial"/>
              </w:rPr>
            </w:pPr>
            <w:r>
              <w:rPr>
                <w:rFonts w:ascii="Arial" w:hAnsi="Arial" w:cs="Arial"/>
              </w:rPr>
              <w:t>3.</w:t>
            </w:r>
          </w:p>
        </w:tc>
        <w:tc>
          <w:tcPr>
            <w:tcW w:w="5954" w:type="dxa"/>
            <w:tcBorders>
              <w:top w:val="nil"/>
              <w:left w:val="nil"/>
              <w:bottom w:val="nil"/>
              <w:right w:val="nil"/>
            </w:tcBorders>
          </w:tcPr>
          <w:p w14:paraId="1FA54DAE" w14:textId="7D27AB6E" w:rsidR="00646E0B" w:rsidRDefault="00646E0B" w:rsidP="00646E0B">
            <w:pPr>
              <w:spacing w:line="360" w:lineRule="auto"/>
              <w:jc w:val="both"/>
              <w:rPr>
                <w:rFonts w:ascii="Arial" w:hAnsi="Arial" w:cs="Arial"/>
              </w:rPr>
            </w:pPr>
            <w:r>
              <w:rPr>
                <w:rFonts w:ascii="Arial" w:hAnsi="Arial" w:cs="Arial"/>
              </w:rPr>
              <w:t>Accounting</w:t>
            </w:r>
          </w:p>
        </w:tc>
        <w:tc>
          <w:tcPr>
            <w:tcW w:w="1933" w:type="dxa"/>
            <w:tcBorders>
              <w:top w:val="nil"/>
              <w:left w:val="nil"/>
              <w:bottom w:val="nil"/>
              <w:right w:val="nil"/>
            </w:tcBorders>
          </w:tcPr>
          <w:p w14:paraId="23A1D2B8" w14:textId="44BF8B76" w:rsidR="00646E0B" w:rsidRDefault="00646E0B" w:rsidP="00646E0B">
            <w:pPr>
              <w:spacing w:line="360" w:lineRule="auto"/>
              <w:jc w:val="center"/>
              <w:rPr>
                <w:rFonts w:ascii="Arial" w:hAnsi="Arial" w:cs="Arial"/>
              </w:rPr>
            </w:pPr>
            <w:r>
              <w:rPr>
                <w:rFonts w:ascii="Arial" w:hAnsi="Arial" w:cs="Arial"/>
              </w:rPr>
              <w:t>4</w:t>
            </w:r>
          </w:p>
        </w:tc>
      </w:tr>
    </w:tbl>
    <w:p w14:paraId="67B75310" w14:textId="7EFA8704" w:rsidR="00646E0B" w:rsidRDefault="00646E0B" w:rsidP="00646E0B">
      <w:pPr>
        <w:jc w:val="both"/>
        <w:rPr>
          <w:rFonts w:ascii="Arial" w:hAnsi="Arial" w:cs="Arial"/>
        </w:rPr>
      </w:pPr>
    </w:p>
    <w:p w14:paraId="6C1AAE78" w14:textId="75E8A92C" w:rsidR="00646E0B" w:rsidRDefault="00646E0B" w:rsidP="00646E0B">
      <w:pPr>
        <w:jc w:val="both"/>
        <w:rPr>
          <w:rFonts w:ascii="Arial" w:hAnsi="Arial" w:cs="Arial"/>
        </w:rPr>
      </w:pPr>
    </w:p>
    <w:p w14:paraId="79AEF3E4" w14:textId="47CF7C38" w:rsidR="00646E0B" w:rsidRDefault="00646E0B" w:rsidP="00646E0B">
      <w:pPr>
        <w:jc w:val="both"/>
        <w:rPr>
          <w:rFonts w:ascii="Arial" w:hAnsi="Arial" w:cs="Arial"/>
        </w:rPr>
      </w:pPr>
    </w:p>
    <w:p w14:paraId="7DDD5D10" w14:textId="30481E28" w:rsidR="00646E0B" w:rsidRDefault="00646E0B" w:rsidP="00646E0B">
      <w:pPr>
        <w:jc w:val="both"/>
        <w:rPr>
          <w:rFonts w:ascii="Arial" w:hAnsi="Arial" w:cs="Arial"/>
        </w:rPr>
      </w:pPr>
    </w:p>
    <w:p w14:paraId="59B9BB5F" w14:textId="4556195B" w:rsidR="00646E0B" w:rsidRDefault="00646E0B" w:rsidP="00646E0B">
      <w:pPr>
        <w:jc w:val="both"/>
        <w:rPr>
          <w:rFonts w:ascii="Arial" w:hAnsi="Arial" w:cs="Arial"/>
        </w:rPr>
      </w:pPr>
    </w:p>
    <w:p w14:paraId="13179CD7" w14:textId="0BE8A359" w:rsidR="00646E0B" w:rsidRDefault="00646E0B" w:rsidP="00646E0B">
      <w:pPr>
        <w:jc w:val="both"/>
        <w:rPr>
          <w:rFonts w:ascii="Arial" w:hAnsi="Arial" w:cs="Arial"/>
        </w:rPr>
      </w:pPr>
    </w:p>
    <w:p w14:paraId="76CF4C7E" w14:textId="09B682B3" w:rsidR="00646E0B" w:rsidRDefault="00646E0B" w:rsidP="00646E0B">
      <w:pPr>
        <w:jc w:val="both"/>
        <w:rPr>
          <w:rFonts w:ascii="Arial" w:hAnsi="Arial" w:cs="Arial"/>
        </w:rPr>
      </w:pPr>
    </w:p>
    <w:p w14:paraId="39C0C97F" w14:textId="33FED704" w:rsidR="00646E0B" w:rsidRDefault="00646E0B" w:rsidP="00646E0B">
      <w:pPr>
        <w:jc w:val="both"/>
        <w:rPr>
          <w:rFonts w:ascii="Arial" w:hAnsi="Arial" w:cs="Arial"/>
        </w:rPr>
      </w:pPr>
    </w:p>
    <w:p w14:paraId="528B920A" w14:textId="4F6E5E73" w:rsidR="00646E0B" w:rsidRDefault="00646E0B" w:rsidP="00646E0B">
      <w:pPr>
        <w:jc w:val="both"/>
        <w:rPr>
          <w:rFonts w:ascii="Arial" w:hAnsi="Arial" w:cs="Arial"/>
        </w:rPr>
      </w:pPr>
    </w:p>
    <w:p w14:paraId="582A534B" w14:textId="6ACA4533" w:rsidR="00646E0B" w:rsidRDefault="00646E0B" w:rsidP="00646E0B">
      <w:pPr>
        <w:jc w:val="both"/>
        <w:rPr>
          <w:rFonts w:ascii="Arial" w:hAnsi="Arial" w:cs="Arial"/>
        </w:rPr>
      </w:pPr>
    </w:p>
    <w:p w14:paraId="6CCDB760" w14:textId="2B00D5D6" w:rsidR="00646E0B" w:rsidRDefault="00646E0B" w:rsidP="00646E0B">
      <w:pPr>
        <w:jc w:val="both"/>
        <w:rPr>
          <w:rFonts w:ascii="Arial" w:hAnsi="Arial" w:cs="Arial"/>
        </w:rPr>
      </w:pPr>
    </w:p>
    <w:p w14:paraId="5A18453D" w14:textId="70250E79" w:rsidR="00646E0B" w:rsidRDefault="00646E0B" w:rsidP="00646E0B">
      <w:pPr>
        <w:jc w:val="both"/>
        <w:rPr>
          <w:rFonts w:ascii="Arial" w:hAnsi="Arial" w:cs="Arial"/>
        </w:rPr>
      </w:pPr>
    </w:p>
    <w:p w14:paraId="58A92593" w14:textId="6C136EB6" w:rsidR="00646E0B" w:rsidRDefault="00646E0B" w:rsidP="00646E0B">
      <w:pPr>
        <w:jc w:val="both"/>
        <w:rPr>
          <w:rFonts w:ascii="Arial" w:hAnsi="Arial" w:cs="Arial"/>
        </w:rPr>
      </w:pPr>
    </w:p>
    <w:p w14:paraId="408B350D" w14:textId="377F1428" w:rsidR="00646E0B" w:rsidRDefault="00646E0B" w:rsidP="00646E0B">
      <w:pPr>
        <w:jc w:val="both"/>
        <w:rPr>
          <w:rFonts w:ascii="Arial" w:hAnsi="Arial" w:cs="Arial"/>
        </w:rPr>
      </w:pPr>
    </w:p>
    <w:p w14:paraId="2135139B" w14:textId="0C3DE951" w:rsidR="00646E0B" w:rsidRDefault="00646E0B" w:rsidP="00646E0B">
      <w:pPr>
        <w:jc w:val="both"/>
        <w:rPr>
          <w:rFonts w:ascii="Arial" w:hAnsi="Arial" w:cs="Arial"/>
        </w:rPr>
      </w:pPr>
    </w:p>
    <w:p w14:paraId="3E2C9142" w14:textId="4ECD59BB" w:rsidR="00646E0B" w:rsidRDefault="00646E0B" w:rsidP="00646E0B">
      <w:pPr>
        <w:jc w:val="both"/>
        <w:rPr>
          <w:rFonts w:ascii="Arial" w:hAnsi="Arial" w:cs="Arial"/>
        </w:rPr>
      </w:pPr>
    </w:p>
    <w:p w14:paraId="36F84316" w14:textId="6D3268E6" w:rsidR="00646E0B" w:rsidRDefault="00646E0B" w:rsidP="00646E0B">
      <w:pPr>
        <w:jc w:val="both"/>
        <w:rPr>
          <w:rFonts w:ascii="Arial" w:hAnsi="Arial" w:cs="Arial"/>
        </w:rPr>
      </w:pPr>
    </w:p>
    <w:p w14:paraId="41EF2B74" w14:textId="0F62CA33" w:rsidR="00646E0B" w:rsidRDefault="00646E0B" w:rsidP="00646E0B">
      <w:pPr>
        <w:jc w:val="both"/>
        <w:rPr>
          <w:rFonts w:ascii="Arial" w:hAnsi="Arial" w:cs="Arial"/>
        </w:rPr>
      </w:pPr>
    </w:p>
    <w:p w14:paraId="5BF3BDD3" w14:textId="30C62371" w:rsidR="00646E0B" w:rsidRDefault="00646E0B" w:rsidP="00646E0B">
      <w:pPr>
        <w:jc w:val="both"/>
        <w:rPr>
          <w:rFonts w:ascii="Arial" w:hAnsi="Arial" w:cs="Arial"/>
        </w:rPr>
      </w:pPr>
    </w:p>
    <w:p w14:paraId="3C4A6D15" w14:textId="0E479FF7" w:rsidR="00646E0B" w:rsidRDefault="00646E0B" w:rsidP="00646E0B">
      <w:pPr>
        <w:jc w:val="both"/>
        <w:rPr>
          <w:rFonts w:ascii="Arial" w:hAnsi="Arial" w:cs="Arial"/>
        </w:rPr>
      </w:pPr>
    </w:p>
    <w:p w14:paraId="6CD07855" w14:textId="14A53829" w:rsidR="00646E0B" w:rsidRDefault="00646E0B" w:rsidP="00646E0B">
      <w:pPr>
        <w:jc w:val="both"/>
        <w:rPr>
          <w:rFonts w:ascii="Arial" w:hAnsi="Arial" w:cs="Arial"/>
        </w:rPr>
      </w:pPr>
    </w:p>
    <w:p w14:paraId="21684A4C" w14:textId="38F71170" w:rsidR="00646E0B" w:rsidRDefault="00646E0B" w:rsidP="00646E0B">
      <w:pPr>
        <w:jc w:val="both"/>
        <w:rPr>
          <w:rFonts w:ascii="Arial" w:hAnsi="Arial" w:cs="Arial"/>
        </w:rPr>
      </w:pPr>
    </w:p>
    <w:p w14:paraId="7964C8A1" w14:textId="2A71CB9D" w:rsidR="00646E0B" w:rsidRDefault="00646E0B" w:rsidP="00646E0B">
      <w:pPr>
        <w:jc w:val="both"/>
        <w:rPr>
          <w:rFonts w:ascii="Arial" w:hAnsi="Arial" w:cs="Arial"/>
        </w:rPr>
      </w:pPr>
    </w:p>
    <w:p w14:paraId="6A9D1B14" w14:textId="2824AE53" w:rsidR="00646E0B" w:rsidRDefault="00646E0B" w:rsidP="00646E0B">
      <w:pPr>
        <w:jc w:val="both"/>
        <w:rPr>
          <w:rFonts w:ascii="Arial" w:hAnsi="Arial" w:cs="Arial"/>
        </w:rPr>
      </w:pPr>
    </w:p>
    <w:p w14:paraId="22407AC0" w14:textId="1EB1CE00" w:rsidR="00646E0B" w:rsidRDefault="00646E0B" w:rsidP="00646E0B">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646E0B" w14:paraId="0109007F" w14:textId="77777777" w:rsidTr="00646E0B">
        <w:tc>
          <w:tcPr>
            <w:tcW w:w="9016" w:type="dxa"/>
            <w:gridSpan w:val="2"/>
          </w:tcPr>
          <w:p w14:paraId="55D254B8" w14:textId="735A46D6" w:rsidR="00646E0B" w:rsidRDefault="00646E0B" w:rsidP="00646E0B">
            <w:pPr>
              <w:spacing w:line="360" w:lineRule="auto"/>
              <w:jc w:val="both"/>
              <w:rPr>
                <w:rFonts w:ascii="Arial" w:hAnsi="Arial" w:cs="Arial"/>
                <w:b/>
                <w:u w:val="single"/>
              </w:rPr>
            </w:pPr>
            <w:r>
              <w:rPr>
                <w:rFonts w:ascii="Arial" w:hAnsi="Arial" w:cs="Arial"/>
                <w:b/>
                <w:u w:val="single"/>
              </w:rPr>
              <w:lastRenderedPageBreak/>
              <w:t>CAPITAL REPLACEMENT RESERVE (CRR)</w:t>
            </w:r>
          </w:p>
        </w:tc>
      </w:tr>
      <w:tr w:rsidR="00646E0B" w14:paraId="0ADE4CC2" w14:textId="77777777" w:rsidTr="00646E0B">
        <w:tc>
          <w:tcPr>
            <w:tcW w:w="1271" w:type="dxa"/>
          </w:tcPr>
          <w:p w14:paraId="6003CC93" w14:textId="77777777" w:rsidR="00646E0B" w:rsidRDefault="00646E0B" w:rsidP="00646E0B">
            <w:pPr>
              <w:spacing w:line="360" w:lineRule="auto"/>
              <w:jc w:val="both"/>
              <w:rPr>
                <w:rFonts w:ascii="Arial" w:hAnsi="Arial" w:cs="Arial"/>
                <w:b/>
              </w:rPr>
            </w:pPr>
          </w:p>
        </w:tc>
        <w:tc>
          <w:tcPr>
            <w:tcW w:w="7745" w:type="dxa"/>
          </w:tcPr>
          <w:p w14:paraId="0CCC0B68" w14:textId="77777777" w:rsidR="00646E0B" w:rsidRDefault="00646E0B" w:rsidP="00646E0B">
            <w:pPr>
              <w:spacing w:line="360" w:lineRule="auto"/>
              <w:jc w:val="both"/>
              <w:rPr>
                <w:rFonts w:ascii="Arial" w:hAnsi="Arial" w:cs="Arial"/>
                <w:b/>
                <w:u w:val="single"/>
              </w:rPr>
            </w:pPr>
          </w:p>
        </w:tc>
      </w:tr>
      <w:tr w:rsidR="00646E0B" w14:paraId="5CA30773" w14:textId="77777777" w:rsidTr="00646E0B">
        <w:tc>
          <w:tcPr>
            <w:tcW w:w="1271" w:type="dxa"/>
          </w:tcPr>
          <w:p w14:paraId="513D5B5B" w14:textId="026C4703" w:rsidR="00646E0B" w:rsidRPr="00646E0B" w:rsidRDefault="00646E0B" w:rsidP="00646E0B">
            <w:pPr>
              <w:spacing w:line="360" w:lineRule="auto"/>
              <w:jc w:val="both"/>
              <w:rPr>
                <w:rFonts w:ascii="Arial" w:hAnsi="Arial" w:cs="Arial"/>
                <w:b/>
              </w:rPr>
            </w:pPr>
            <w:r>
              <w:rPr>
                <w:rFonts w:ascii="Arial" w:hAnsi="Arial" w:cs="Arial"/>
                <w:b/>
              </w:rPr>
              <w:t>1.</w:t>
            </w:r>
          </w:p>
        </w:tc>
        <w:tc>
          <w:tcPr>
            <w:tcW w:w="7745" w:type="dxa"/>
          </w:tcPr>
          <w:p w14:paraId="39E68C59" w14:textId="3411955A" w:rsidR="00646E0B" w:rsidRPr="00646E0B" w:rsidRDefault="00646E0B" w:rsidP="00646E0B">
            <w:pPr>
              <w:spacing w:line="360" w:lineRule="auto"/>
              <w:jc w:val="both"/>
              <w:rPr>
                <w:rFonts w:ascii="Arial" w:hAnsi="Arial" w:cs="Arial"/>
                <w:b/>
                <w:u w:val="single"/>
              </w:rPr>
            </w:pPr>
            <w:r>
              <w:rPr>
                <w:rFonts w:ascii="Arial" w:hAnsi="Arial" w:cs="Arial"/>
                <w:b/>
                <w:u w:val="single"/>
              </w:rPr>
              <w:t>PURPOSE</w:t>
            </w:r>
          </w:p>
        </w:tc>
      </w:tr>
      <w:tr w:rsidR="00646E0B" w14:paraId="4F5B1BD6" w14:textId="77777777" w:rsidTr="00646E0B">
        <w:tc>
          <w:tcPr>
            <w:tcW w:w="1271" w:type="dxa"/>
          </w:tcPr>
          <w:p w14:paraId="7561ADCD" w14:textId="77777777" w:rsidR="00646E0B" w:rsidRDefault="00646E0B" w:rsidP="00646E0B">
            <w:pPr>
              <w:spacing w:line="360" w:lineRule="auto"/>
              <w:jc w:val="both"/>
              <w:rPr>
                <w:rFonts w:ascii="Arial" w:hAnsi="Arial" w:cs="Arial"/>
              </w:rPr>
            </w:pPr>
          </w:p>
        </w:tc>
        <w:tc>
          <w:tcPr>
            <w:tcW w:w="7745" w:type="dxa"/>
          </w:tcPr>
          <w:p w14:paraId="3F55884F" w14:textId="77777777" w:rsidR="00646E0B" w:rsidRDefault="00646E0B" w:rsidP="00646E0B">
            <w:pPr>
              <w:spacing w:line="360" w:lineRule="auto"/>
              <w:jc w:val="both"/>
              <w:rPr>
                <w:rFonts w:ascii="Arial" w:hAnsi="Arial" w:cs="Arial"/>
              </w:rPr>
            </w:pPr>
          </w:p>
        </w:tc>
      </w:tr>
      <w:tr w:rsidR="00646E0B" w14:paraId="50FC4F4B" w14:textId="77777777" w:rsidTr="00646E0B">
        <w:tc>
          <w:tcPr>
            <w:tcW w:w="1271" w:type="dxa"/>
          </w:tcPr>
          <w:p w14:paraId="7547B21D" w14:textId="39087D54" w:rsidR="00646E0B" w:rsidRDefault="00646E0B" w:rsidP="00646E0B">
            <w:pPr>
              <w:spacing w:line="360" w:lineRule="auto"/>
              <w:jc w:val="both"/>
              <w:rPr>
                <w:rFonts w:ascii="Arial" w:hAnsi="Arial" w:cs="Arial"/>
              </w:rPr>
            </w:pPr>
            <w:r>
              <w:rPr>
                <w:rFonts w:ascii="Arial" w:hAnsi="Arial" w:cs="Arial"/>
              </w:rPr>
              <w:t>1.1</w:t>
            </w:r>
          </w:p>
        </w:tc>
        <w:tc>
          <w:tcPr>
            <w:tcW w:w="7745" w:type="dxa"/>
          </w:tcPr>
          <w:p w14:paraId="5A88E66A" w14:textId="5D05C3BB" w:rsidR="00646E0B" w:rsidRDefault="00646E0B" w:rsidP="00646E0B">
            <w:pPr>
              <w:spacing w:line="360" w:lineRule="auto"/>
              <w:jc w:val="both"/>
              <w:rPr>
                <w:rFonts w:ascii="Arial" w:hAnsi="Arial" w:cs="Arial"/>
              </w:rPr>
            </w:pPr>
            <w:r w:rsidRPr="00646E0B">
              <w:rPr>
                <w:rFonts w:ascii="Arial" w:hAnsi="Arial" w:cs="Arial"/>
                <w:lang w:val="en-US"/>
              </w:rPr>
              <w:t>It is the policy of Central Karoo District Municipality to establish, in future or as soon as reasonably possible, a Capital Replacement Reserve as permitted by the budgetary restrictions experienced by the Municipality.</w:t>
            </w:r>
          </w:p>
        </w:tc>
      </w:tr>
      <w:tr w:rsidR="00646E0B" w14:paraId="5237E4CC" w14:textId="77777777" w:rsidTr="00646E0B">
        <w:tc>
          <w:tcPr>
            <w:tcW w:w="1271" w:type="dxa"/>
          </w:tcPr>
          <w:p w14:paraId="7A7AC177" w14:textId="77777777" w:rsidR="00646E0B" w:rsidRDefault="00646E0B" w:rsidP="00646E0B">
            <w:pPr>
              <w:spacing w:line="360" w:lineRule="auto"/>
              <w:jc w:val="both"/>
              <w:rPr>
                <w:rFonts w:ascii="Arial" w:hAnsi="Arial" w:cs="Arial"/>
              </w:rPr>
            </w:pPr>
          </w:p>
        </w:tc>
        <w:tc>
          <w:tcPr>
            <w:tcW w:w="7745" w:type="dxa"/>
          </w:tcPr>
          <w:p w14:paraId="525CEE89" w14:textId="77777777" w:rsidR="00646E0B" w:rsidRDefault="00646E0B" w:rsidP="00646E0B">
            <w:pPr>
              <w:spacing w:line="360" w:lineRule="auto"/>
              <w:jc w:val="both"/>
              <w:rPr>
                <w:rFonts w:ascii="Arial" w:hAnsi="Arial" w:cs="Arial"/>
              </w:rPr>
            </w:pPr>
          </w:p>
        </w:tc>
      </w:tr>
      <w:tr w:rsidR="00646E0B" w14:paraId="5BC17555" w14:textId="77777777" w:rsidTr="00646E0B">
        <w:tc>
          <w:tcPr>
            <w:tcW w:w="1271" w:type="dxa"/>
          </w:tcPr>
          <w:p w14:paraId="45513695" w14:textId="5D8CB89E" w:rsidR="00646E0B" w:rsidRDefault="00646E0B" w:rsidP="00646E0B">
            <w:pPr>
              <w:spacing w:line="360" w:lineRule="auto"/>
              <w:jc w:val="both"/>
              <w:rPr>
                <w:rFonts w:ascii="Arial" w:hAnsi="Arial" w:cs="Arial"/>
              </w:rPr>
            </w:pPr>
            <w:r>
              <w:rPr>
                <w:rFonts w:ascii="Arial" w:hAnsi="Arial" w:cs="Arial"/>
              </w:rPr>
              <w:t>1.2</w:t>
            </w:r>
          </w:p>
        </w:tc>
        <w:tc>
          <w:tcPr>
            <w:tcW w:w="7745" w:type="dxa"/>
          </w:tcPr>
          <w:p w14:paraId="57A7CF1D" w14:textId="5CEE61B4" w:rsidR="00646E0B" w:rsidRDefault="00646E0B" w:rsidP="00646E0B">
            <w:pPr>
              <w:spacing w:line="360" w:lineRule="auto"/>
              <w:jc w:val="both"/>
              <w:rPr>
                <w:rFonts w:ascii="Arial" w:hAnsi="Arial" w:cs="Arial"/>
              </w:rPr>
            </w:pPr>
            <w:r w:rsidRPr="00646E0B">
              <w:rPr>
                <w:rFonts w:ascii="Arial" w:hAnsi="Arial" w:cs="Arial"/>
                <w:lang w:val="en-US"/>
              </w:rPr>
              <w:t>The Municipality does not provide any basic services and it is therefore not heavily invested in service delivery infrastructure. The largest asset class of the municipality is Land and Buildings with smaller investments in vehicles and furniture and equipment.</w:t>
            </w:r>
          </w:p>
        </w:tc>
      </w:tr>
      <w:tr w:rsidR="00646E0B" w14:paraId="04C5F1AB" w14:textId="77777777" w:rsidTr="00646E0B">
        <w:tc>
          <w:tcPr>
            <w:tcW w:w="1271" w:type="dxa"/>
          </w:tcPr>
          <w:p w14:paraId="27BF2A01" w14:textId="77777777" w:rsidR="00646E0B" w:rsidRDefault="00646E0B" w:rsidP="00646E0B">
            <w:pPr>
              <w:spacing w:line="360" w:lineRule="auto"/>
              <w:jc w:val="both"/>
              <w:rPr>
                <w:rFonts w:ascii="Arial" w:hAnsi="Arial" w:cs="Arial"/>
              </w:rPr>
            </w:pPr>
          </w:p>
        </w:tc>
        <w:tc>
          <w:tcPr>
            <w:tcW w:w="7745" w:type="dxa"/>
          </w:tcPr>
          <w:p w14:paraId="6BBB1FF5" w14:textId="77777777" w:rsidR="00646E0B" w:rsidRDefault="00646E0B" w:rsidP="00646E0B">
            <w:pPr>
              <w:spacing w:line="360" w:lineRule="auto"/>
              <w:jc w:val="both"/>
              <w:rPr>
                <w:rFonts w:ascii="Arial" w:hAnsi="Arial" w:cs="Arial"/>
              </w:rPr>
            </w:pPr>
          </w:p>
        </w:tc>
      </w:tr>
      <w:tr w:rsidR="00646E0B" w14:paraId="457E3969" w14:textId="77777777" w:rsidTr="00646E0B">
        <w:tc>
          <w:tcPr>
            <w:tcW w:w="1271" w:type="dxa"/>
          </w:tcPr>
          <w:p w14:paraId="38D4E3BF" w14:textId="6C9B0A26" w:rsidR="00646E0B" w:rsidRDefault="00646E0B" w:rsidP="00646E0B">
            <w:pPr>
              <w:spacing w:line="360" w:lineRule="auto"/>
              <w:jc w:val="both"/>
              <w:rPr>
                <w:rFonts w:ascii="Arial" w:hAnsi="Arial" w:cs="Arial"/>
              </w:rPr>
            </w:pPr>
            <w:r>
              <w:rPr>
                <w:rFonts w:ascii="Arial" w:hAnsi="Arial" w:cs="Arial"/>
              </w:rPr>
              <w:t>1.3</w:t>
            </w:r>
          </w:p>
        </w:tc>
        <w:tc>
          <w:tcPr>
            <w:tcW w:w="7745" w:type="dxa"/>
          </w:tcPr>
          <w:p w14:paraId="5A31D9D2" w14:textId="0F0A1C7E" w:rsidR="00646E0B" w:rsidRDefault="00646E0B" w:rsidP="00646E0B">
            <w:pPr>
              <w:spacing w:line="360" w:lineRule="auto"/>
              <w:jc w:val="both"/>
              <w:rPr>
                <w:rFonts w:ascii="Arial" w:hAnsi="Arial" w:cs="Arial"/>
              </w:rPr>
            </w:pPr>
            <w:r w:rsidRPr="00646E0B">
              <w:rPr>
                <w:rFonts w:ascii="Arial" w:hAnsi="Arial" w:cs="Arial"/>
                <w:lang w:val="en-US"/>
              </w:rPr>
              <w:t>The purpose of the CRR is to set aside funds for the financing of property, plant and equipment. The CRR is therefore an asset financing source that represents an alternative to the other funding sources available to municipalities, namely external loans (Interest bearing borrowings) and government grants and subsidies.</w:t>
            </w:r>
          </w:p>
        </w:tc>
      </w:tr>
      <w:tr w:rsidR="00646E0B" w14:paraId="312538B9" w14:textId="77777777" w:rsidTr="00646E0B">
        <w:tc>
          <w:tcPr>
            <w:tcW w:w="1271" w:type="dxa"/>
          </w:tcPr>
          <w:p w14:paraId="166D4F1C" w14:textId="77777777" w:rsidR="00646E0B" w:rsidRDefault="00646E0B" w:rsidP="00646E0B">
            <w:pPr>
              <w:spacing w:line="360" w:lineRule="auto"/>
              <w:jc w:val="both"/>
              <w:rPr>
                <w:rFonts w:ascii="Arial" w:hAnsi="Arial" w:cs="Arial"/>
              </w:rPr>
            </w:pPr>
          </w:p>
        </w:tc>
        <w:tc>
          <w:tcPr>
            <w:tcW w:w="7745" w:type="dxa"/>
          </w:tcPr>
          <w:p w14:paraId="7A80901A" w14:textId="77777777" w:rsidR="00646E0B" w:rsidRDefault="00646E0B" w:rsidP="00646E0B">
            <w:pPr>
              <w:spacing w:line="360" w:lineRule="auto"/>
              <w:jc w:val="both"/>
              <w:rPr>
                <w:rFonts w:ascii="Arial" w:hAnsi="Arial" w:cs="Arial"/>
              </w:rPr>
            </w:pPr>
          </w:p>
        </w:tc>
      </w:tr>
      <w:tr w:rsidR="00646E0B" w14:paraId="6FB9CF30" w14:textId="77777777" w:rsidTr="00646E0B">
        <w:tc>
          <w:tcPr>
            <w:tcW w:w="1271" w:type="dxa"/>
          </w:tcPr>
          <w:p w14:paraId="4A8E09C8" w14:textId="6ABFF0CF" w:rsidR="00646E0B" w:rsidRPr="00646E0B" w:rsidRDefault="00646E0B" w:rsidP="00646E0B">
            <w:pPr>
              <w:spacing w:line="360" w:lineRule="auto"/>
              <w:jc w:val="both"/>
              <w:rPr>
                <w:rFonts w:ascii="Arial" w:hAnsi="Arial" w:cs="Arial"/>
                <w:b/>
              </w:rPr>
            </w:pPr>
            <w:r>
              <w:rPr>
                <w:rFonts w:ascii="Arial" w:hAnsi="Arial" w:cs="Arial"/>
                <w:b/>
              </w:rPr>
              <w:t>2.</w:t>
            </w:r>
          </w:p>
        </w:tc>
        <w:tc>
          <w:tcPr>
            <w:tcW w:w="7745" w:type="dxa"/>
          </w:tcPr>
          <w:p w14:paraId="461A0836" w14:textId="75FEA8A2" w:rsidR="00646E0B" w:rsidRPr="00646E0B" w:rsidRDefault="00646E0B" w:rsidP="00646E0B">
            <w:pPr>
              <w:spacing w:line="360" w:lineRule="auto"/>
              <w:jc w:val="both"/>
              <w:rPr>
                <w:rFonts w:ascii="Arial" w:hAnsi="Arial" w:cs="Arial"/>
                <w:b/>
                <w:u w:val="single"/>
              </w:rPr>
            </w:pPr>
            <w:r>
              <w:rPr>
                <w:rFonts w:ascii="Arial" w:hAnsi="Arial" w:cs="Arial"/>
                <w:b/>
                <w:u w:val="single"/>
              </w:rPr>
              <w:t>CONTRIBUTIONS</w:t>
            </w:r>
          </w:p>
        </w:tc>
      </w:tr>
      <w:tr w:rsidR="00646E0B" w14:paraId="0F34B458" w14:textId="77777777" w:rsidTr="00646E0B">
        <w:tc>
          <w:tcPr>
            <w:tcW w:w="1271" w:type="dxa"/>
          </w:tcPr>
          <w:p w14:paraId="2A4CD6FB" w14:textId="77777777" w:rsidR="00646E0B" w:rsidRDefault="00646E0B" w:rsidP="00646E0B">
            <w:pPr>
              <w:spacing w:line="360" w:lineRule="auto"/>
              <w:jc w:val="both"/>
              <w:rPr>
                <w:rFonts w:ascii="Arial" w:hAnsi="Arial" w:cs="Arial"/>
              </w:rPr>
            </w:pPr>
          </w:p>
        </w:tc>
        <w:tc>
          <w:tcPr>
            <w:tcW w:w="7745" w:type="dxa"/>
          </w:tcPr>
          <w:p w14:paraId="60E0128E" w14:textId="77777777" w:rsidR="00646E0B" w:rsidRDefault="00646E0B" w:rsidP="00646E0B">
            <w:pPr>
              <w:spacing w:line="360" w:lineRule="auto"/>
              <w:jc w:val="both"/>
              <w:rPr>
                <w:rFonts w:ascii="Arial" w:hAnsi="Arial" w:cs="Arial"/>
              </w:rPr>
            </w:pPr>
          </w:p>
        </w:tc>
      </w:tr>
      <w:tr w:rsidR="00646E0B" w14:paraId="77A4AEA6" w14:textId="77777777" w:rsidTr="00646E0B">
        <w:tc>
          <w:tcPr>
            <w:tcW w:w="1271" w:type="dxa"/>
          </w:tcPr>
          <w:p w14:paraId="377204DC" w14:textId="2C942AE3" w:rsidR="00646E0B" w:rsidRDefault="00646E0B" w:rsidP="00646E0B">
            <w:pPr>
              <w:spacing w:line="360" w:lineRule="auto"/>
              <w:jc w:val="both"/>
              <w:rPr>
                <w:rFonts w:ascii="Arial" w:hAnsi="Arial" w:cs="Arial"/>
              </w:rPr>
            </w:pPr>
            <w:r>
              <w:rPr>
                <w:rFonts w:ascii="Arial" w:hAnsi="Arial" w:cs="Arial"/>
              </w:rPr>
              <w:t>2.1</w:t>
            </w:r>
          </w:p>
        </w:tc>
        <w:tc>
          <w:tcPr>
            <w:tcW w:w="7745" w:type="dxa"/>
          </w:tcPr>
          <w:p w14:paraId="2C313AAC" w14:textId="6CED70D4" w:rsidR="00646E0B" w:rsidRDefault="00646E0B" w:rsidP="00646E0B">
            <w:pPr>
              <w:spacing w:line="360" w:lineRule="auto"/>
              <w:jc w:val="both"/>
              <w:rPr>
                <w:rFonts w:ascii="Arial" w:hAnsi="Arial" w:cs="Arial"/>
              </w:rPr>
            </w:pPr>
            <w:r w:rsidRPr="00646E0B">
              <w:rPr>
                <w:rFonts w:ascii="Arial" w:hAnsi="Arial" w:cs="Arial"/>
                <w:lang w:val="en-US"/>
              </w:rPr>
              <w:t>It is the policy of Council to strive towards building up a cash funded CRR to ensure that the CRR remains a capital funding source of the future.</w:t>
            </w:r>
          </w:p>
        </w:tc>
      </w:tr>
      <w:tr w:rsidR="00646E0B" w14:paraId="02ED81A3" w14:textId="77777777" w:rsidTr="00646E0B">
        <w:tc>
          <w:tcPr>
            <w:tcW w:w="1271" w:type="dxa"/>
          </w:tcPr>
          <w:p w14:paraId="14861529" w14:textId="77777777" w:rsidR="00646E0B" w:rsidRDefault="00646E0B" w:rsidP="00646E0B">
            <w:pPr>
              <w:spacing w:line="360" w:lineRule="auto"/>
              <w:jc w:val="both"/>
              <w:rPr>
                <w:rFonts w:ascii="Arial" w:hAnsi="Arial" w:cs="Arial"/>
              </w:rPr>
            </w:pPr>
          </w:p>
        </w:tc>
        <w:tc>
          <w:tcPr>
            <w:tcW w:w="7745" w:type="dxa"/>
          </w:tcPr>
          <w:p w14:paraId="76E67A44" w14:textId="77777777" w:rsidR="00646E0B" w:rsidRDefault="00646E0B" w:rsidP="00646E0B">
            <w:pPr>
              <w:spacing w:line="360" w:lineRule="auto"/>
              <w:jc w:val="both"/>
              <w:rPr>
                <w:rFonts w:ascii="Arial" w:hAnsi="Arial" w:cs="Arial"/>
              </w:rPr>
            </w:pPr>
          </w:p>
        </w:tc>
      </w:tr>
      <w:tr w:rsidR="00646E0B" w14:paraId="4C3F2970" w14:textId="77777777" w:rsidTr="00646E0B">
        <w:tc>
          <w:tcPr>
            <w:tcW w:w="1271" w:type="dxa"/>
          </w:tcPr>
          <w:p w14:paraId="5CC9A18B" w14:textId="0340E1DF" w:rsidR="00646E0B" w:rsidRDefault="00646E0B" w:rsidP="00646E0B">
            <w:pPr>
              <w:spacing w:line="360" w:lineRule="auto"/>
              <w:jc w:val="both"/>
              <w:rPr>
                <w:rFonts w:ascii="Arial" w:hAnsi="Arial" w:cs="Arial"/>
              </w:rPr>
            </w:pPr>
            <w:r>
              <w:rPr>
                <w:rFonts w:ascii="Arial" w:hAnsi="Arial" w:cs="Arial"/>
              </w:rPr>
              <w:t>2.2</w:t>
            </w:r>
          </w:p>
        </w:tc>
        <w:tc>
          <w:tcPr>
            <w:tcW w:w="7745" w:type="dxa"/>
          </w:tcPr>
          <w:p w14:paraId="3E473168" w14:textId="09DDDD72" w:rsidR="00646E0B" w:rsidRDefault="00646E0B" w:rsidP="00646E0B">
            <w:pPr>
              <w:spacing w:line="360" w:lineRule="auto"/>
              <w:jc w:val="both"/>
              <w:rPr>
                <w:rFonts w:ascii="Arial" w:hAnsi="Arial" w:cs="Arial"/>
              </w:rPr>
            </w:pPr>
            <w:r w:rsidRPr="00646E0B">
              <w:rPr>
                <w:rFonts w:ascii="Arial" w:hAnsi="Arial" w:cs="Arial"/>
                <w:lang w:val="en-US"/>
              </w:rPr>
              <w:t>The Municipality will determine its future capital financing requirements and endeavor to transfer sufficient cash to its CRR in terms of this determination.</w:t>
            </w:r>
          </w:p>
        </w:tc>
      </w:tr>
      <w:tr w:rsidR="00646E0B" w14:paraId="113AF029" w14:textId="77777777" w:rsidTr="00646E0B">
        <w:tc>
          <w:tcPr>
            <w:tcW w:w="1271" w:type="dxa"/>
          </w:tcPr>
          <w:p w14:paraId="59826ECC" w14:textId="77777777" w:rsidR="00646E0B" w:rsidRDefault="00646E0B" w:rsidP="00646E0B">
            <w:pPr>
              <w:spacing w:line="360" w:lineRule="auto"/>
              <w:jc w:val="both"/>
              <w:rPr>
                <w:rFonts w:ascii="Arial" w:hAnsi="Arial" w:cs="Arial"/>
              </w:rPr>
            </w:pPr>
          </w:p>
        </w:tc>
        <w:tc>
          <w:tcPr>
            <w:tcW w:w="7745" w:type="dxa"/>
          </w:tcPr>
          <w:p w14:paraId="7BE1670A" w14:textId="77777777" w:rsidR="00646E0B" w:rsidRDefault="00646E0B" w:rsidP="00646E0B">
            <w:pPr>
              <w:spacing w:line="360" w:lineRule="auto"/>
              <w:jc w:val="both"/>
              <w:rPr>
                <w:rFonts w:ascii="Arial" w:hAnsi="Arial" w:cs="Arial"/>
              </w:rPr>
            </w:pPr>
          </w:p>
        </w:tc>
      </w:tr>
      <w:tr w:rsidR="00646E0B" w14:paraId="2A6EC238" w14:textId="77777777" w:rsidTr="00646E0B">
        <w:tc>
          <w:tcPr>
            <w:tcW w:w="1271" w:type="dxa"/>
          </w:tcPr>
          <w:p w14:paraId="10E413F6" w14:textId="62390DB7" w:rsidR="00646E0B" w:rsidRDefault="00646E0B" w:rsidP="00646E0B">
            <w:pPr>
              <w:spacing w:line="360" w:lineRule="auto"/>
              <w:jc w:val="both"/>
              <w:rPr>
                <w:rFonts w:ascii="Arial" w:hAnsi="Arial" w:cs="Arial"/>
              </w:rPr>
            </w:pPr>
            <w:r>
              <w:rPr>
                <w:rFonts w:ascii="Arial" w:hAnsi="Arial" w:cs="Arial"/>
              </w:rPr>
              <w:t>2.3</w:t>
            </w:r>
          </w:p>
        </w:tc>
        <w:tc>
          <w:tcPr>
            <w:tcW w:w="7745" w:type="dxa"/>
          </w:tcPr>
          <w:p w14:paraId="18DE7D04" w14:textId="7128D6C0" w:rsidR="00646E0B" w:rsidRDefault="00646E0B" w:rsidP="00646E0B">
            <w:pPr>
              <w:spacing w:line="360" w:lineRule="auto"/>
              <w:jc w:val="both"/>
              <w:rPr>
                <w:rFonts w:ascii="Arial" w:hAnsi="Arial" w:cs="Arial"/>
              </w:rPr>
            </w:pPr>
            <w:r w:rsidRPr="00646E0B">
              <w:rPr>
                <w:rFonts w:ascii="Arial" w:hAnsi="Arial" w:cs="Arial"/>
                <w:lang w:val="en-US"/>
              </w:rPr>
              <w:t>The Integrated Development Plan, the Municipality's ability to raise external finance and the amount of government grants and subsidies that will be received in future will need to be taken into account in determining the amount that must be transferred to the CRR.</w:t>
            </w:r>
          </w:p>
        </w:tc>
      </w:tr>
      <w:tr w:rsidR="00646E0B" w14:paraId="01854103" w14:textId="77777777" w:rsidTr="00646E0B">
        <w:tc>
          <w:tcPr>
            <w:tcW w:w="1271" w:type="dxa"/>
          </w:tcPr>
          <w:p w14:paraId="4732B6F7" w14:textId="77777777" w:rsidR="00646E0B" w:rsidRDefault="00646E0B" w:rsidP="00646E0B">
            <w:pPr>
              <w:spacing w:line="360" w:lineRule="auto"/>
              <w:jc w:val="both"/>
              <w:rPr>
                <w:rFonts w:ascii="Arial" w:hAnsi="Arial" w:cs="Arial"/>
              </w:rPr>
            </w:pPr>
          </w:p>
        </w:tc>
        <w:tc>
          <w:tcPr>
            <w:tcW w:w="7745" w:type="dxa"/>
          </w:tcPr>
          <w:p w14:paraId="7FA1E96F" w14:textId="77777777" w:rsidR="00646E0B" w:rsidRDefault="00646E0B" w:rsidP="00646E0B">
            <w:pPr>
              <w:spacing w:line="360" w:lineRule="auto"/>
              <w:jc w:val="both"/>
              <w:rPr>
                <w:rFonts w:ascii="Arial" w:hAnsi="Arial" w:cs="Arial"/>
              </w:rPr>
            </w:pPr>
          </w:p>
        </w:tc>
      </w:tr>
      <w:tr w:rsidR="00646E0B" w14:paraId="46A62728" w14:textId="77777777" w:rsidTr="00646E0B">
        <w:tc>
          <w:tcPr>
            <w:tcW w:w="1271" w:type="dxa"/>
          </w:tcPr>
          <w:p w14:paraId="26FEE323" w14:textId="50DD5D89" w:rsidR="00646E0B" w:rsidRDefault="00646E0B" w:rsidP="00646E0B">
            <w:pPr>
              <w:spacing w:line="360" w:lineRule="auto"/>
              <w:jc w:val="both"/>
              <w:rPr>
                <w:rFonts w:ascii="Arial" w:hAnsi="Arial" w:cs="Arial"/>
              </w:rPr>
            </w:pPr>
            <w:r>
              <w:rPr>
                <w:rFonts w:ascii="Arial" w:hAnsi="Arial" w:cs="Arial"/>
              </w:rPr>
              <w:t>2.4</w:t>
            </w:r>
          </w:p>
        </w:tc>
        <w:tc>
          <w:tcPr>
            <w:tcW w:w="7745" w:type="dxa"/>
          </w:tcPr>
          <w:p w14:paraId="1B5C7FF9" w14:textId="05784BC8" w:rsidR="00646E0B" w:rsidRDefault="00646E0B" w:rsidP="00646E0B">
            <w:pPr>
              <w:spacing w:line="360" w:lineRule="auto"/>
              <w:jc w:val="both"/>
              <w:rPr>
                <w:rFonts w:ascii="Arial" w:hAnsi="Arial" w:cs="Arial"/>
              </w:rPr>
            </w:pPr>
            <w:r w:rsidRPr="00646E0B">
              <w:rPr>
                <w:rFonts w:ascii="Arial" w:hAnsi="Arial" w:cs="Arial"/>
                <w:lang w:val="en-US"/>
              </w:rPr>
              <w:t>All cash proceeds on the sale of assets (including the sale of buildings and land) will be transferred from the Accumulated Surplus to the CRR via the Statement of Changes in Net Assets.</w:t>
            </w:r>
          </w:p>
        </w:tc>
      </w:tr>
      <w:tr w:rsidR="00646E0B" w14:paraId="75CCE525" w14:textId="77777777" w:rsidTr="00646E0B">
        <w:tc>
          <w:tcPr>
            <w:tcW w:w="1271" w:type="dxa"/>
          </w:tcPr>
          <w:p w14:paraId="6CA66B1B" w14:textId="77777777" w:rsidR="00646E0B" w:rsidRDefault="00646E0B" w:rsidP="00646E0B">
            <w:pPr>
              <w:spacing w:line="360" w:lineRule="auto"/>
              <w:jc w:val="both"/>
              <w:rPr>
                <w:rFonts w:ascii="Arial" w:hAnsi="Arial" w:cs="Arial"/>
              </w:rPr>
            </w:pPr>
          </w:p>
        </w:tc>
        <w:tc>
          <w:tcPr>
            <w:tcW w:w="7745" w:type="dxa"/>
          </w:tcPr>
          <w:p w14:paraId="4767D7C1" w14:textId="77777777" w:rsidR="00646E0B" w:rsidRPr="00646E0B" w:rsidRDefault="00646E0B" w:rsidP="00646E0B">
            <w:pPr>
              <w:spacing w:line="360" w:lineRule="auto"/>
              <w:jc w:val="both"/>
              <w:rPr>
                <w:rFonts w:ascii="Arial" w:hAnsi="Arial" w:cs="Arial"/>
                <w:lang w:val="en-US"/>
              </w:rPr>
            </w:pPr>
          </w:p>
        </w:tc>
      </w:tr>
      <w:tr w:rsidR="00646E0B" w14:paraId="24A64510" w14:textId="77777777" w:rsidTr="00646E0B">
        <w:tc>
          <w:tcPr>
            <w:tcW w:w="1271" w:type="dxa"/>
          </w:tcPr>
          <w:p w14:paraId="2E76D4DB" w14:textId="749B842F" w:rsidR="00646E0B" w:rsidRPr="00646E0B" w:rsidRDefault="00646E0B" w:rsidP="00646E0B">
            <w:pPr>
              <w:spacing w:line="360" w:lineRule="auto"/>
              <w:jc w:val="both"/>
              <w:rPr>
                <w:rFonts w:ascii="Arial" w:hAnsi="Arial" w:cs="Arial"/>
                <w:b/>
              </w:rPr>
            </w:pPr>
            <w:r>
              <w:rPr>
                <w:rFonts w:ascii="Arial" w:hAnsi="Arial" w:cs="Arial"/>
                <w:b/>
              </w:rPr>
              <w:lastRenderedPageBreak/>
              <w:t>3.</w:t>
            </w:r>
          </w:p>
        </w:tc>
        <w:tc>
          <w:tcPr>
            <w:tcW w:w="7745" w:type="dxa"/>
          </w:tcPr>
          <w:p w14:paraId="1FD0B46C" w14:textId="5DE1D70F" w:rsidR="00646E0B" w:rsidRPr="00646E0B" w:rsidRDefault="00646E0B" w:rsidP="00646E0B">
            <w:pPr>
              <w:spacing w:line="360" w:lineRule="auto"/>
              <w:jc w:val="both"/>
              <w:rPr>
                <w:rFonts w:ascii="Arial" w:hAnsi="Arial" w:cs="Arial"/>
                <w:b/>
                <w:u w:val="single"/>
              </w:rPr>
            </w:pPr>
            <w:r>
              <w:rPr>
                <w:rFonts w:ascii="Arial" w:hAnsi="Arial" w:cs="Arial"/>
                <w:b/>
                <w:u w:val="single"/>
              </w:rPr>
              <w:t>ACCOUNTING</w:t>
            </w:r>
          </w:p>
        </w:tc>
      </w:tr>
      <w:tr w:rsidR="00646E0B" w14:paraId="742353A1" w14:textId="77777777" w:rsidTr="00646E0B">
        <w:tc>
          <w:tcPr>
            <w:tcW w:w="1271" w:type="dxa"/>
          </w:tcPr>
          <w:p w14:paraId="7C1DE8B1" w14:textId="77777777" w:rsidR="00646E0B" w:rsidRDefault="00646E0B" w:rsidP="00646E0B">
            <w:pPr>
              <w:spacing w:line="360" w:lineRule="auto"/>
              <w:jc w:val="both"/>
              <w:rPr>
                <w:rFonts w:ascii="Arial" w:hAnsi="Arial" w:cs="Arial"/>
              </w:rPr>
            </w:pPr>
          </w:p>
        </w:tc>
        <w:tc>
          <w:tcPr>
            <w:tcW w:w="7745" w:type="dxa"/>
          </w:tcPr>
          <w:p w14:paraId="2274C12B" w14:textId="77777777" w:rsidR="00646E0B" w:rsidRDefault="00646E0B" w:rsidP="00646E0B">
            <w:pPr>
              <w:spacing w:line="360" w:lineRule="auto"/>
              <w:jc w:val="both"/>
              <w:rPr>
                <w:rFonts w:ascii="Arial" w:hAnsi="Arial" w:cs="Arial"/>
              </w:rPr>
            </w:pPr>
          </w:p>
        </w:tc>
      </w:tr>
      <w:tr w:rsidR="00646E0B" w14:paraId="48294FB4" w14:textId="77777777" w:rsidTr="00646E0B">
        <w:tc>
          <w:tcPr>
            <w:tcW w:w="1271" w:type="dxa"/>
          </w:tcPr>
          <w:p w14:paraId="6733BCF2" w14:textId="52279B17" w:rsidR="00646E0B" w:rsidRDefault="00646E0B" w:rsidP="00646E0B">
            <w:pPr>
              <w:spacing w:line="360" w:lineRule="auto"/>
              <w:jc w:val="both"/>
              <w:rPr>
                <w:rFonts w:ascii="Arial" w:hAnsi="Arial" w:cs="Arial"/>
              </w:rPr>
            </w:pPr>
            <w:r>
              <w:rPr>
                <w:rFonts w:ascii="Arial" w:hAnsi="Arial" w:cs="Arial"/>
              </w:rPr>
              <w:t>3.1</w:t>
            </w:r>
          </w:p>
        </w:tc>
        <w:tc>
          <w:tcPr>
            <w:tcW w:w="7745" w:type="dxa"/>
          </w:tcPr>
          <w:p w14:paraId="46E4875A" w14:textId="3391F3F5" w:rsidR="00646E0B" w:rsidRDefault="00646E0B" w:rsidP="00646E0B">
            <w:pPr>
              <w:spacing w:line="360" w:lineRule="auto"/>
              <w:jc w:val="both"/>
              <w:rPr>
                <w:rFonts w:ascii="Arial" w:hAnsi="Arial" w:cs="Arial"/>
              </w:rPr>
            </w:pPr>
            <w:r w:rsidRPr="00646E0B">
              <w:rPr>
                <w:rFonts w:ascii="Arial" w:hAnsi="Arial" w:cs="Arial"/>
                <w:lang w:val="en-US"/>
              </w:rPr>
              <w:t xml:space="preserve">The balance of the CRR must always be represented by cash and the CRR may only be used for the purpose of financing items of property, plant and equipment as specified in GRAP 17. It may not be used for the maintenance of any assets. Whenever and asset financed out of the CRR an amount equal to the cost price of the asset purchased is transferred from the CRR into Accumulated Surplus on the Statement of Changes </w:t>
            </w:r>
            <w:proofErr w:type="gramStart"/>
            <w:r w:rsidRPr="00646E0B">
              <w:rPr>
                <w:rFonts w:ascii="Arial" w:hAnsi="Arial" w:cs="Arial"/>
                <w:lang w:val="en-US"/>
              </w:rPr>
              <w:t>In</w:t>
            </w:r>
            <w:proofErr w:type="gramEnd"/>
            <w:r w:rsidRPr="00646E0B">
              <w:rPr>
                <w:rFonts w:ascii="Arial" w:hAnsi="Arial" w:cs="Arial"/>
                <w:lang w:val="en-US"/>
              </w:rPr>
              <w:t xml:space="preserve"> Net Assets. This is to cover future depreciation charges on the assets funded from the CRR.</w:t>
            </w:r>
          </w:p>
        </w:tc>
      </w:tr>
    </w:tbl>
    <w:p w14:paraId="26389CF6" w14:textId="64EA3D5E" w:rsidR="00646E0B" w:rsidRDefault="00646E0B" w:rsidP="00646E0B">
      <w:pPr>
        <w:jc w:val="both"/>
        <w:rPr>
          <w:rFonts w:ascii="Arial" w:hAnsi="Arial" w:cs="Arial"/>
        </w:rPr>
      </w:pPr>
    </w:p>
    <w:p w14:paraId="09411B3D" w14:textId="21BEAFB4" w:rsidR="00646E0B" w:rsidRDefault="00646E0B" w:rsidP="00646E0B">
      <w:pPr>
        <w:jc w:val="both"/>
        <w:rPr>
          <w:rFonts w:ascii="Arial" w:hAnsi="Arial" w:cs="Arial"/>
        </w:rPr>
      </w:pPr>
    </w:p>
    <w:p w14:paraId="2B675D3D" w14:textId="77777777" w:rsidR="00646E0B" w:rsidRPr="00646E0B" w:rsidRDefault="00646E0B" w:rsidP="00646E0B">
      <w:pPr>
        <w:jc w:val="both"/>
        <w:rPr>
          <w:rFonts w:ascii="Arial" w:hAnsi="Arial" w:cs="Arial"/>
        </w:rPr>
      </w:pPr>
    </w:p>
    <w:sectPr w:rsidR="00646E0B" w:rsidRPr="00646E0B" w:rsidSect="00646E0B">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37ADB" w14:textId="77777777" w:rsidR="00646E0B" w:rsidRDefault="00646E0B" w:rsidP="00646E0B">
      <w:pPr>
        <w:spacing w:after="0" w:line="240" w:lineRule="auto"/>
      </w:pPr>
      <w:r>
        <w:separator/>
      </w:r>
    </w:p>
  </w:endnote>
  <w:endnote w:type="continuationSeparator" w:id="0">
    <w:p w14:paraId="4DB1EC48" w14:textId="77777777" w:rsidR="00646E0B" w:rsidRDefault="00646E0B" w:rsidP="0064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2"/>
      <w:gridCol w:w="4494"/>
    </w:tblGrid>
    <w:tr w:rsidR="00646E0B" w14:paraId="72DC09C5" w14:textId="77777777">
      <w:trPr>
        <w:trHeight w:hRule="exact" w:val="115"/>
        <w:jc w:val="center"/>
      </w:trPr>
      <w:tc>
        <w:tcPr>
          <w:tcW w:w="4686" w:type="dxa"/>
          <w:shd w:val="clear" w:color="auto" w:fill="4472C4" w:themeFill="accent1"/>
          <w:tcMar>
            <w:top w:w="0" w:type="dxa"/>
            <w:bottom w:w="0" w:type="dxa"/>
          </w:tcMar>
        </w:tcPr>
        <w:p w14:paraId="515ED89E" w14:textId="77777777" w:rsidR="00646E0B" w:rsidRDefault="00646E0B">
          <w:pPr>
            <w:pStyle w:val="Header"/>
            <w:rPr>
              <w:caps/>
              <w:sz w:val="18"/>
            </w:rPr>
          </w:pPr>
        </w:p>
      </w:tc>
      <w:tc>
        <w:tcPr>
          <w:tcW w:w="4674" w:type="dxa"/>
          <w:shd w:val="clear" w:color="auto" w:fill="4472C4" w:themeFill="accent1"/>
          <w:tcMar>
            <w:top w:w="0" w:type="dxa"/>
            <w:bottom w:w="0" w:type="dxa"/>
          </w:tcMar>
        </w:tcPr>
        <w:p w14:paraId="3EA8F56C" w14:textId="77777777" w:rsidR="00646E0B" w:rsidRDefault="00646E0B">
          <w:pPr>
            <w:pStyle w:val="Header"/>
            <w:jc w:val="right"/>
            <w:rPr>
              <w:caps/>
              <w:sz w:val="18"/>
            </w:rPr>
          </w:pPr>
        </w:p>
      </w:tc>
    </w:tr>
    <w:tr w:rsidR="00646E0B" w14:paraId="20D5C4FB" w14:textId="77777777">
      <w:trPr>
        <w:jc w:val="center"/>
      </w:trPr>
      <w:tc>
        <w:tcPr>
          <w:tcW w:w="4686" w:type="dxa"/>
          <w:shd w:val="clear" w:color="auto" w:fill="auto"/>
          <w:vAlign w:val="center"/>
        </w:tcPr>
        <w:p w14:paraId="7E6FCD17" w14:textId="01CAF690" w:rsidR="00646E0B" w:rsidRDefault="00646E0B">
          <w:pPr>
            <w:pStyle w:val="Footer"/>
            <w:rPr>
              <w:caps/>
              <w:color w:val="808080" w:themeColor="background1" w:themeShade="80"/>
              <w:sz w:val="18"/>
              <w:szCs w:val="18"/>
            </w:rPr>
          </w:pPr>
          <w:r>
            <w:rPr>
              <w:caps/>
              <w:color w:val="808080" w:themeColor="background1" w:themeShade="80"/>
              <w:sz w:val="18"/>
              <w:szCs w:val="18"/>
            </w:rPr>
            <w:t>CKDM: FUNDING AND RESEEVES POLICY</w:t>
          </w:r>
        </w:p>
      </w:tc>
      <w:tc>
        <w:tcPr>
          <w:tcW w:w="4674" w:type="dxa"/>
          <w:shd w:val="clear" w:color="auto" w:fill="auto"/>
          <w:vAlign w:val="center"/>
        </w:tcPr>
        <w:p w14:paraId="221BD562" w14:textId="4589CDDF" w:rsidR="00646E0B" w:rsidRDefault="00646E0B">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35912">
            <w:rPr>
              <w:caps/>
              <w:noProof/>
              <w:color w:val="808080" w:themeColor="background1" w:themeShade="80"/>
              <w:sz w:val="18"/>
              <w:szCs w:val="18"/>
            </w:rPr>
            <w:t>2</w:t>
          </w:r>
          <w:r>
            <w:rPr>
              <w:caps/>
              <w:noProof/>
              <w:color w:val="808080" w:themeColor="background1" w:themeShade="80"/>
              <w:sz w:val="18"/>
              <w:szCs w:val="18"/>
            </w:rPr>
            <w:fldChar w:fldCharType="end"/>
          </w:r>
        </w:p>
      </w:tc>
    </w:tr>
  </w:tbl>
  <w:p w14:paraId="7C9CCDF4" w14:textId="77777777" w:rsidR="00646E0B" w:rsidRDefault="00646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F05F9" w14:textId="77777777" w:rsidR="00646E0B" w:rsidRDefault="00646E0B" w:rsidP="00646E0B">
      <w:pPr>
        <w:spacing w:after="0" w:line="240" w:lineRule="auto"/>
      </w:pPr>
      <w:r>
        <w:separator/>
      </w:r>
    </w:p>
  </w:footnote>
  <w:footnote w:type="continuationSeparator" w:id="0">
    <w:p w14:paraId="40CF0491" w14:textId="77777777" w:rsidR="00646E0B" w:rsidRDefault="00646E0B" w:rsidP="00646E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0B"/>
    <w:rsid w:val="00335912"/>
    <w:rsid w:val="00646E0B"/>
    <w:rsid w:val="006E712A"/>
    <w:rsid w:val="007D7AE7"/>
    <w:rsid w:val="00972C29"/>
    <w:rsid w:val="00FC7493"/>
    <w:rsid w:val="00FD79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CE7D"/>
  <w15:chartTrackingRefBased/>
  <w15:docId w15:val="{64B1F5F8-FA4D-47DA-82C8-35172702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E0B"/>
  </w:style>
  <w:style w:type="paragraph" w:styleId="Footer">
    <w:name w:val="footer"/>
    <w:basedOn w:val="Normal"/>
    <w:link w:val="FooterChar"/>
    <w:uiPriority w:val="99"/>
    <w:unhideWhenUsed/>
    <w:rsid w:val="0064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E0B"/>
  </w:style>
  <w:style w:type="table" w:styleId="TableGrid">
    <w:name w:val="Table Grid"/>
    <w:basedOn w:val="TableNormal"/>
    <w:uiPriority w:val="39"/>
    <w:rsid w:val="0064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7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0EEACF-3D16-4253-8825-5C3246CD775E}"/>
</file>

<file path=customXml/itemProps2.xml><?xml version="1.0" encoding="utf-8"?>
<ds:datastoreItem xmlns:ds="http://schemas.openxmlformats.org/officeDocument/2006/customXml" ds:itemID="{F557E867-86FC-4638-836C-FF1E18B7BA8A}"/>
</file>

<file path=customXml/itemProps3.xml><?xml version="1.0" encoding="utf-8"?>
<ds:datastoreItem xmlns:ds="http://schemas.openxmlformats.org/officeDocument/2006/customXml" ds:itemID="{C25C2C94-D55F-414F-9132-31F00C4A8E95}"/>
</file>

<file path=docProps/app.xml><?xml version="1.0" encoding="utf-8"?>
<Properties xmlns="http://schemas.openxmlformats.org/officeDocument/2006/extended-properties" xmlns:vt="http://schemas.openxmlformats.org/officeDocument/2006/docPropsVTypes">
  <Template>Normal</Template>
  <TotalTime>15</TotalTime>
  <Pages>4</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5</cp:revision>
  <cp:lastPrinted>2018-06-19T11:46:00Z</cp:lastPrinted>
  <dcterms:created xsi:type="dcterms:W3CDTF">2018-05-14T13:30:00Z</dcterms:created>
  <dcterms:modified xsi:type="dcterms:W3CDTF">2020-03-17T12:52:00Z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